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5488" w:rsidRPr="003C5488" w:rsidRDefault="003C5488" w:rsidP="003C5488">
      <w:pPr>
        <w:spacing w:after="174" w:line="259" w:lineRule="auto"/>
        <w:ind w:left="-5" w:right="0" w:hanging="10"/>
        <w:rPr>
          <w:rFonts w:ascii="Arial" w:hAnsi="Arial" w:cs="Arial"/>
        </w:rPr>
      </w:pPr>
      <w:bookmarkStart w:id="0" w:name="_Hlk222309608"/>
      <w:r w:rsidRPr="003C5488">
        <w:rPr>
          <w:rFonts w:ascii="Arial" w:hAnsi="Arial" w:cs="Arial"/>
        </w:rPr>
        <w:t>WL-IV.272.</w:t>
      </w:r>
      <w:r w:rsidR="007C221B">
        <w:rPr>
          <w:rFonts w:ascii="Arial" w:hAnsi="Arial" w:cs="Arial"/>
        </w:rPr>
        <w:t>9</w:t>
      </w:r>
      <w:r w:rsidRPr="003C5488">
        <w:rPr>
          <w:rFonts w:ascii="Arial" w:hAnsi="Arial" w:cs="Arial"/>
        </w:rPr>
        <w:t xml:space="preserve">.2026 </w:t>
      </w:r>
      <w:r w:rsidRPr="003C5488">
        <w:rPr>
          <w:rFonts w:ascii="Arial" w:hAnsi="Arial" w:cs="Arial"/>
        </w:rPr>
        <w:tab/>
      </w:r>
      <w:r w:rsidRPr="003C5488">
        <w:rPr>
          <w:rFonts w:ascii="Arial" w:hAnsi="Arial" w:cs="Arial"/>
        </w:rPr>
        <w:tab/>
      </w:r>
      <w:r w:rsidRPr="003C5488">
        <w:rPr>
          <w:rFonts w:ascii="Arial" w:hAnsi="Arial" w:cs="Arial"/>
        </w:rPr>
        <w:tab/>
      </w:r>
      <w:r w:rsidRPr="003C5488">
        <w:rPr>
          <w:rFonts w:ascii="Arial" w:hAnsi="Arial" w:cs="Arial"/>
        </w:rPr>
        <w:tab/>
      </w:r>
      <w:r w:rsidRPr="003C5488">
        <w:rPr>
          <w:rFonts w:ascii="Arial" w:hAnsi="Arial" w:cs="Arial"/>
        </w:rPr>
        <w:tab/>
      </w:r>
      <w:r w:rsidRPr="003C5488">
        <w:rPr>
          <w:rFonts w:ascii="Arial" w:hAnsi="Arial" w:cs="Arial"/>
        </w:rPr>
        <w:tab/>
      </w:r>
      <w:r w:rsidRPr="003C5488">
        <w:rPr>
          <w:rFonts w:ascii="Arial" w:hAnsi="Arial" w:cs="Arial"/>
        </w:rPr>
        <w:tab/>
      </w:r>
      <w:r w:rsidRPr="003C5488">
        <w:rPr>
          <w:rFonts w:ascii="Arial" w:hAnsi="Arial" w:cs="Arial"/>
        </w:rPr>
        <w:tab/>
        <w:t xml:space="preserve">zał. </w:t>
      </w:r>
      <w:r w:rsidR="00572E40">
        <w:rPr>
          <w:rFonts w:ascii="Arial" w:hAnsi="Arial" w:cs="Arial"/>
        </w:rPr>
        <w:t>1</w:t>
      </w:r>
      <w:r w:rsidR="00044FFE">
        <w:rPr>
          <w:rFonts w:ascii="Arial" w:hAnsi="Arial" w:cs="Arial"/>
        </w:rPr>
        <w:t>A</w:t>
      </w:r>
      <w:r w:rsidRPr="003C5488">
        <w:rPr>
          <w:rFonts w:ascii="Arial" w:hAnsi="Arial" w:cs="Arial"/>
        </w:rPr>
        <w:t xml:space="preserve"> do swz</w:t>
      </w:r>
    </w:p>
    <w:p w:rsidR="003C5488" w:rsidRDefault="003C5488" w:rsidP="003C5488">
      <w:pPr>
        <w:spacing w:after="120" w:line="259" w:lineRule="auto"/>
        <w:ind w:left="0" w:right="1" w:firstLine="0"/>
        <w:jc w:val="center"/>
        <w:rPr>
          <w:rFonts w:ascii="Arial" w:hAnsi="Arial" w:cs="Arial"/>
          <w:b/>
        </w:rPr>
      </w:pPr>
      <w:r w:rsidRPr="003C5488">
        <w:rPr>
          <w:rFonts w:ascii="Arial" w:hAnsi="Arial" w:cs="Arial"/>
          <w:b/>
        </w:rPr>
        <w:t>Opis Przedmiotu Zamówienia</w:t>
      </w:r>
      <w:r w:rsidR="00083ADB">
        <w:rPr>
          <w:rFonts w:ascii="Arial" w:hAnsi="Arial" w:cs="Arial"/>
          <w:b/>
        </w:rPr>
        <w:t xml:space="preserve"> / Specyfikacja techniczna</w:t>
      </w:r>
    </w:p>
    <w:p w:rsidR="003C5488" w:rsidRPr="007C221B" w:rsidRDefault="007C221B" w:rsidP="007C221B">
      <w:pPr>
        <w:spacing w:after="0" w:line="259" w:lineRule="auto"/>
        <w:ind w:left="0" w:right="1" w:firstLine="0"/>
        <w:jc w:val="center"/>
        <w:rPr>
          <w:rFonts w:ascii="Arial" w:hAnsi="Arial" w:cs="Arial"/>
          <w:b/>
          <w:color w:val="FF0000"/>
        </w:rPr>
      </w:pPr>
      <w:r w:rsidRPr="007C221B">
        <w:rPr>
          <w:rFonts w:ascii="Arial" w:hAnsi="Arial" w:cs="Arial"/>
          <w:b/>
          <w:color w:val="FF0000"/>
        </w:rPr>
        <w:t>(Cz. I zamówienia)</w:t>
      </w:r>
    </w:p>
    <w:bookmarkEnd w:id="0"/>
    <w:p w:rsidR="003C5488" w:rsidRPr="003C5488" w:rsidRDefault="003C5488" w:rsidP="003C5488">
      <w:pPr>
        <w:spacing w:after="160" w:line="259" w:lineRule="auto"/>
        <w:ind w:left="0" w:right="1" w:firstLine="0"/>
        <w:jc w:val="center"/>
        <w:rPr>
          <w:rFonts w:ascii="Arial" w:hAnsi="Arial" w:cs="Arial"/>
        </w:rPr>
      </w:pPr>
    </w:p>
    <w:p w:rsidR="00FE2E74" w:rsidRPr="003C5488" w:rsidRDefault="002245E5" w:rsidP="003C5488">
      <w:pPr>
        <w:spacing w:after="0"/>
        <w:ind w:left="0" w:firstLine="0"/>
        <w:rPr>
          <w:rFonts w:ascii="Arial" w:hAnsi="Arial" w:cs="Arial"/>
        </w:rPr>
      </w:pPr>
      <w:r w:rsidRPr="003C5488">
        <w:rPr>
          <w:rFonts w:ascii="Arial" w:hAnsi="Arial" w:cs="Arial"/>
        </w:rPr>
        <w:t xml:space="preserve">Dostawa i wdrożenie Systemu typu Open Source służącego do zarządzania zdarzeniami </w:t>
      </w:r>
      <w:r w:rsidR="007C221B">
        <w:rPr>
          <w:rFonts w:ascii="Arial" w:hAnsi="Arial" w:cs="Arial"/>
        </w:rPr>
        <w:br/>
      </w:r>
      <w:r w:rsidRPr="003C5488">
        <w:rPr>
          <w:rFonts w:ascii="Arial" w:hAnsi="Arial" w:cs="Arial"/>
        </w:rPr>
        <w:t xml:space="preserve">i informacjami bezpieczeństwa (system klasy SIEM – Security Information and Event Management), zwanego dalej Systemem SIEM np. rozwiązanie klasy </w:t>
      </w:r>
      <w:proofErr w:type="spellStart"/>
      <w:r w:rsidRPr="003C5488">
        <w:rPr>
          <w:rFonts w:ascii="Arial" w:hAnsi="Arial" w:cs="Arial"/>
        </w:rPr>
        <w:t>Wazuh</w:t>
      </w:r>
      <w:proofErr w:type="spellEnd"/>
      <w:r w:rsidRPr="003C5488">
        <w:rPr>
          <w:rFonts w:ascii="Arial" w:hAnsi="Arial" w:cs="Arial"/>
        </w:rPr>
        <w:t xml:space="preserve"> lub równoważne spełniające wymagania minimalne w tabeli poniżej. Rozwiązanie na licencji open-</w:t>
      </w:r>
      <w:proofErr w:type="spellStart"/>
      <w:r w:rsidRPr="003C5488">
        <w:rPr>
          <w:rFonts w:ascii="Arial" w:hAnsi="Arial" w:cs="Arial"/>
        </w:rPr>
        <w:t>source</w:t>
      </w:r>
      <w:proofErr w:type="spellEnd"/>
      <w:r w:rsidRPr="003C5488">
        <w:rPr>
          <w:rFonts w:ascii="Arial" w:hAnsi="Arial" w:cs="Arial"/>
        </w:rPr>
        <w:t xml:space="preserve">, umożliwiające agregację i analizę logów w czasie rzeczywistym z urządzeń końcowych, sieciowych oraz chmurowych, detekcję zagrożeń poprzez reguły oparte na </w:t>
      </w:r>
      <w:proofErr w:type="spellStart"/>
      <w:r w:rsidRPr="003C5488">
        <w:rPr>
          <w:rFonts w:ascii="Arial" w:hAnsi="Arial" w:cs="Arial"/>
        </w:rPr>
        <w:t>frameworku</w:t>
      </w:r>
      <w:proofErr w:type="spellEnd"/>
      <w:r w:rsidRPr="003C5488">
        <w:rPr>
          <w:rFonts w:ascii="Arial" w:hAnsi="Arial" w:cs="Arial"/>
        </w:rPr>
        <w:t xml:space="preserve"> MITRE ATT&amp;CK, automatyzację reakcji na incydenty (integracja z SOAR, </w:t>
      </w:r>
      <w:r w:rsidR="007C221B">
        <w:rPr>
          <w:rFonts w:ascii="Arial" w:hAnsi="Arial" w:cs="Arial"/>
        </w:rPr>
        <w:br/>
      </w:r>
      <w:r w:rsidRPr="003C5488">
        <w:rPr>
          <w:rFonts w:ascii="Arial" w:hAnsi="Arial" w:cs="Arial"/>
        </w:rPr>
        <w:t xml:space="preserve">np. </w:t>
      </w:r>
      <w:proofErr w:type="spellStart"/>
      <w:r w:rsidRPr="003C5488">
        <w:rPr>
          <w:rFonts w:ascii="Arial" w:hAnsi="Arial" w:cs="Arial"/>
        </w:rPr>
        <w:t>Shuffle</w:t>
      </w:r>
      <w:proofErr w:type="spellEnd"/>
      <w:r w:rsidRPr="003C5488">
        <w:rPr>
          <w:rFonts w:ascii="Arial" w:hAnsi="Arial" w:cs="Arial"/>
        </w:rPr>
        <w:t>), monitorowanie zgodności z regulacjami (RODO, PCI-DSS).</w:t>
      </w:r>
    </w:p>
    <w:p w:rsidR="007C221B" w:rsidRDefault="007C221B" w:rsidP="003C5488">
      <w:pPr>
        <w:spacing w:after="0"/>
        <w:ind w:left="0" w:right="0" w:firstLine="0"/>
        <w:rPr>
          <w:rFonts w:ascii="Arial" w:hAnsi="Arial" w:cs="Arial"/>
        </w:rPr>
      </w:pPr>
    </w:p>
    <w:p w:rsidR="007C221B" w:rsidRPr="003C5488" w:rsidRDefault="002245E5" w:rsidP="003C5488">
      <w:pPr>
        <w:spacing w:after="0"/>
        <w:ind w:left="0" w:right="0" w:firstLine="0"/>
        <w:rPr>
          <w:rFonts w:ascii="Arial" w:hAnsi="Arial" w:cs="Arial"/>
        </w:rPr>
      </w:pPr>
      <w:r w:rsidRPr="003C5488">
        <w:rPr>
          <w:rFonts w:ascii="Arial" w:hAnsi="Arial" w:cs="Arial"/>
        </w:rPr>
        <w:t>Przedmiotem zamówienia  jest:</w:t>
      </w:r>
    </w:p>
    <w:p w:rsidR="002245E5" w:rsidRPr="003C5488" w:rsidRDefault="002245E5" w:rsidP="007C221B">
      <w:pPr>
        <w:numPr>
          <w:ilvl w:val="0"/>
          <w:numId w:val="1"/>
        </w:numPr>
        <w:spacing w:after="0"/>
        <w:ind w:left="284" w:right="0" w:hanging="284"/>
        <w:rPr>
          <w:rFonts w:ascii="Arial" w:hAnsi="Arial" w:cs="Arial"/>
        </w:rPr>
      </w:pPr>
      <w:r w:rsidRPr="003C5488">
        <w:rPr>
          <w:rFonts w:ascii="Arial" w:hAnsi="Arial" w:cs="Arial"/>
        </w:rPr>
        <w:t xml:space="preserve">Wykonanie przez Wykonawcę projektu technicznego wdrożenia Systemu SIEM. "Dostarczenie do lokalizacji Zamawiającego Systemu SIEM (rozwiązanie klasy </w:t>
      </w:r>
      <w:proofErr w:type="spellStart"/>
      <w:r w:rsidRPr="003C5488">
        <w:rPr>
          <w:rFonts w:ascii="Arial" w:hAnsi="Arial" w:cs="Arial"/>
        </w:rPr>
        <w:t>Wazuh</w:t>
      </w:r>
      <w:proofErr w:type="spellEnd"/>
      <w:r w:rsidRPr="003C5488">
        <w:rPr>
          <w:rFonts w:ascii="Arial" w:hAnsi="Arial" w:cs="Arial"/>
        </w:rPr>
        <w:t xml:space="preserve"> lub równoważne), spełniającego minimalne wymagania techniczne określone w tabeli poniżej. Zapewnienie aktywacji subskrypcji Systemu SIEM w systemach serwisowych producenta. Wykonawca otrzyma dostęp administracyjny do </w:t>
      </w:r>
      <w:proofErr w:type="spellStart"/>
      <w:r w:rsidRPr="003C5488">
        <w:rPr>
          <w:rFonts w:ascii="Arial" w:hAnsi="Arial" w:cs="Arial"/>
        </w:rPr>
        <w:t>wirtualizatora</w:t>
      </w:r>
      <w:proofErr w:type="spellEnd"/>
      <w:r w:rsidRPr="003C5488">
        <w:rPr>
          <w:rFonts w:ascii="Arial" w:hAnsi="Arial" w:cs="Arial"/>
        </w:rPr>
        <w:t xml:space="preserve"> w celu instalacji systemu. System musi być wdrożony w architekturze rozproszonej, z zapewnieniem wysokiej dostępności (HA) oraz integracją z infrastrukturą Zamawiającego. Wymaga się, aby architektura systemu umożliwiała działanie w trybie klastrowym (</w:t>
      </w:r>
      <w:proofErr w:type="spellStart"/>
      <w:r w:rsidRPr="003C5488">
        <w:rPr>
          <w:rFonts w:ascii="Arial" w:hAnsi="Arial" w:cs="Arial"/>
        </w:rPr>
        <w:t>multi-node</w:t>
      </w:r>
      <w:proofErr w:type="spellEnd"/>
      <w:r w:rsidRPr="003C5488">
        <w:rPr>
          <w:rFonts w:ascii="Arial" w:hAnsi="Arial" w:cs="Arial"/>
        </w:rPr>
        <w:t>) z redundancją funkcjonalną oraz replikacją danych dla wszystkich kluczowych komponentów. Przeprowadzenie warsztatów i dokumentacji powdrożeniowej. Dokumentacja powdrożeniowa powinna zawierać opis architektury, konfiguracji komponentów, listę integracji, zastosowane reguły bezpieczeństwa oraz zalecenia eksploatacyjne.</w:t>
      </w:r>
    </w:p>
    <w:p w:rsidR="002245E5" w:rsidRPr="003C5488" w:rsidRDefault="002245E5" w:rsidP="007C221B">
      <w:pPr>
        <w:numPr>
          <w:ilvl w:val="0"/>
          <w:numId w:val="1"/>
        </w:numPr>
        <w:spacing w:after="0"/>
        <w:ind w:left="284" w:right="0" w:hanging="284"/>
        <w:rPr>
          <w:rFonts w:ascii="Arial" w:hAnsi="Arial" w:cs="Arial"/>
        </w:rPr>
      </w:pPr>
      <w:r w:rsidRPr="003C5488">
        <w:rPr>
          <w:rFonts w:ascii="Arial" w:hAnsi="Arial" w:cs="Arial"/>
        </w:rPr>
        <w:t xml:space="preserve">Instalacja i konfiguracja komponentów Systemu SIEM, w tym </w:t>
      </w:r>
      <w:proofErr w:type="spellStart"/>
      <w:r w:rsidRPr="003C5488">
        <w:rPr>
          <w:rFonts w:ascii="Arial" w:hAnsi="Arial" w:cs="Arial"/>
        </w:rPr>
        <w:t>Dashboardu</w:t>
      </w:r>
      <w:proofErr w:type="spellEnd"/>
      <w:r w:rsidRPr="003C5488">
        <w:rPr>
          <w:rFonts w:ascii="Arial" w:hAnsi="Arial" w:cs="Arial"/>
        </w:rPr>
        <w:t xml:space="preserve"> oraz Agentów na wskazanych hostach. Konfiguracja agentów może być przeprowadzona ręcznie lub w sposób zautomatyzowany, np. z wykorzystaniem GPO (</w:t>
      </w:r>
      <w:proofErr w:type="spellStart"/>
      <w:r w:rsidRPr="003C5488">
        <w:rPr>
          <w:rFonts w:ascii="Arial" w:hAnsi="Arial" w:cs="Arial"/>
        </w:rPr>
        <w:t>Group</w:t>
      </w:r>
      <w:proofErr w:type="spellEnd"/>
      <w:r w:rsidRPr="003C5488">
        <w:rPr>
          <w:rFonts w:ascii="Arial" w:hAnsi="Arial" w:cs="Arial"/>
        </w:rPr>
        <w:t xml:space="preserve"> Policy Objects) co obejmuje analizę logów, wykrywanie włamań, monitorowanie integralności plików, detekcję anomalii i reakcje na incydenty. System powinien integrować się z usługami katalogowymi w celu monitorowania zdarzeń i zarządzania uprawnieniami. Wymagana jest także integracja z systemami bezpieczeństwa (np. zapory sieciowe, systemy antywirusowe, IDS/IPS) w celu poszerzenia źródeł danych i automatyzacji reakcji. Wykonawca skonfiguruje automatyczne reakcje na zdarzenia oraz przygotuje </w:t>
      </w:r>
      <w:proofErr w:type="spellStart"/>
      <w:r w:rsidRPr="003C5488">
        <w:rPr>
          <w:rFonts w:ascii="Arial" w:hAnsi="Arial" w:cs="Arial"/>
        </w:rPr>
        <w:t>dashboardy</w:t>
      </w:r>
      <w:proofErr w:type="spellEnd"/>
      <w:r w:rsidRPr="003C5488">
        <w:rPr>
          <w:rFonts w:ascii="Arial" w:hAnsi="Arial" w:cs="Arial"/>
        </w:rPr>
        <w:t xml:space="preserve"> i raporty dla różnych grup użytkowników. System musi być odpowiednio zabezpieczony: dostęp oparty o role, szyfrowanie komunikacji oraz audyt dostępu.</w:t>
      </w:r>
    </w:p>
    <w:p w:rsidR="002245E5" w:rsidRDefault="002245E5" w:rsidP="007C221B">
      <w:pPr>
        <w:numPr>
          <w:ilvl w:val="0"/>
          <w:numId w:val="1"/>
        </w:numPr>
        <w:spacing w:after="0" w:line="259" w:lineRule="auto"/>
        <w:ind w:left="284" w:right="0" w:hanging="284"/>
        <w:rPr>
          <w:rFonts w:ascii="Arial" w:hAnsi="Arial" w:cs="Arial"/>
        </w:rPr>
      </w:pPr>
      <w:r w:rsidRPr="003C5488">
        <w:rPr>
          <w:rFonts w:ascii="Arial" w:hAnsi="Arial" w:cs="Arial"/>
        </w:rPr>
        <w:t>Wykonawca oświadczy po wdrożeniu, że wdrożony system umożliwia realizację polityk bezpieczeństwa zgodnych z NIS2, w tym przez dostarczenie odpowiednich konfiguracji oraz dokumentacji wspierającej ocenę zgodności, gwarantujące możliwie najwyższy poziom bezpieczeństwa.</w:t>
      </w:r>
    </w:p>
    <w:p w:rsidR="00927F1C" w:rsidRPr="006867BC" w:rsidRDefault="00927F1C" w:rsidP="0083423E">
      <w:pPr>
        <w:numPr>
          <w:ilvl w:val="1"/>
          <w:numId w:val="0"/>
        </w:numPr>
        <w:tabs>
          <w:tab w:val="num" w:pos="0"/>
        </w:tabs>
        <w:rPr>
          <w:rFonts w:ascii="Arial" w:hAnsi="Arial" w:cs="Arial"/>
        </w:rPr>
      </w:pPr>
      <w:r w:rsidRPr="008E0C92">
        <w:rPr>
          <w:rFonts w:ascii="Arial" w:hAnsi="Arial" w:cs="Arial"/>
        </w:rPr>
        <w:lastRenderedPageBreak/>
        <w:t xml:space="preserve">Wykonawca zapewni podstawowy okres wsparcia technicznego od dnia podpisania bezusterkowego, protokolarnego odbioru przedmiotu zamówienia do dnia 30 czerwca </w:t>
      </w:r>
      <w:r w:rsidR="00572E40" w:rsidRPr="008E0C92">
        <w:rPr>
          <w:rFonts w:ascii="Arial" w:hAnsi="Arial" w:cs="Arial"/>
        </w:rPr>
        <w:br/>
      </w:r>
      <w:r w:rsidRPr="008E0C92">
        <w:rPr>
          <w:rFonts w:ascii="Arial" w:hAnsi="Arial" w:cs="Arial"/>
        </w:rPr>
        <w:t xml:space="preserve">2026 r. </w:t>
      </w:r>
      <w:r w:rsidR="0083423E" w:rsidRPr="008E0C92">
        <w:rPr>
          <w:rFonts w:ascii="Arial" w:eastAsia="Times New Roman" w:hAnsi="Arial" w:cs="Arial"/>
          <w:color w:val="auto"/>
        </w:rPr>
        <w:t xml:space="preserve">oraz w okresie 12 miesięcy od zakończenia podstawowego okresu, tj. od dnia </w:t>
      </w:r>
      <w:r w:rsidR="0083423E" w:rsidRPr="008E0C92">
        <w:rPr>
          <w:rFonts w:ascii="Arial" w:eastAsia="Times New Roman" w:hAnsi="Arial" w:cs="Arial"/>
          <w:color w:val="auto"/>
        </w:rPr>
        <w:br/>
        <w:t>01 lipca 2026 r. W</w:t>
      </w:r>
      <w:r w:rsidR="0083423E" w:rsidRPr="008E0C92">
        <w:rPr>
          <w:rFonts w:ascii="Arial" w:hAnsi="Arial" w:cs="Arial"/>
        </w:rPr>
        <w:t xml:space="preserve">sparcie techniczne </w:t>
      </w:r>
      <w:r w:rsidRPr="008E0C92">
        <w:rPr>
          <w:rFonts w:ascii="Arial" w:hAnsi="Arial" w:cs="Arial"/>
        </w:rPr>
        <w:t>w dni robocze (poniedziałek–piątek) w godzinach 7:30–15:30. Wsparcie nie może być limitowane liczbą zgłoszeń. Wsparcie techniczne obejmuje również aktualizacje</w:t>
      </w:r>
      <w:r w:rsidR="0083423E" w:rsidRPr="008E0C92">
        <w:rPr>
          <w:rFonts w:ascii="Arial" w:hAnsi="Arial" w:cs="Arial"/>
        </w:rPr>
        <w:t xml:space="preserve"> </w:t>
      </w:r>
      <w:r w:rsidRPr="008E0C92">
        <w:rPr>
          <w:rFonts w:ascii="Arial" w:hAnsi="Arial" w:cs="Arial"/>
        </w:rPr>
        <w:t>i pomoc przy błędach konfiguracji.</w:t>
      </w:r>
      <w:bookmarkStart w:id="1" w:name="_GoBack"/>
      <w:bookmarkEnd w:id="1"/>
    </w:p>
    <w:p w:rsidR="00927F1C" w:rsidRPr="00927F1C" w:rsidRDefault="00927F1C" w:rsidP="00927F1C">
      <w:pPr>
        <w:rPr>
          <w:rFonts w:ascii="Arial" w:hAnsi="Arial" w:cs="Arial"/>
        </w:rPr>
      </w:pPr>
    </w:p>
    <w:p w:rsidR="00927F1C" w:rsidRDefault="00927F1C" w:rsidP="00927F1C">
      <w:pPr>
        <w:rPr>
          <w:rFonts w:ascii="Arial" w:hAnsi="Arial" w:cs="Arial"/>
        </w:rPr>
      </w:pPr>
    </w:p>
    <w:p w:rsidR="00927F1C" w:rsidRDefault="00927F1C" w:rsidP="00927F1C">
      <w:pPr>
        <w:rPr>
          <w:rFonts w:ascii="Arial" w:hAnsi="Arial" w:cs="Arial"/>
        </w:rPr>
      </w:pPr>
    </w:p>
    <w:tbl>
      <w:tblPr>
        <w:tblStyle w:val="TableGrid"/>
        <w:tblpPr w:vertAnchor="page" w:horzAnchor="margin" w:tblpY="3845"/>
        <w:tblOverlap w:val="never"/>
        <w:tblW w:w="9067" w:type="dxa"/>
        <w:tblInd w:w="0" w:type="dxa"/>
        <w:tblCellMar>
          <w:top w:w="49" w:type="dxa"/>
          <w:left w:w="108" w:type="dxa"/>
          <w:bottom w:w="5" w:type="dxa"/>
          <w:right w:w="58" w:type="dxa"/>
        </w:tblCellMar>
        <w:tblLook w:val="04A0" w:firstRow="1" w:lastRow="0" w:firstColumn="1" w:lastColumn="0" w:noHBand="0" w:noVBand="1"/>
      </w:tblPr>
      <w:tblGrid>
        <w:gridCol w:w="562"/>
        <w:gridCol w:w="6096"/>
        <w:gridCol w:w="2409"/>
      </w:tblGrid>
      <w:tr w:rsidR="00927F1C" w:rsidTr="00927F1C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7C221B" w:rsidRDefault="00927F1C" w:rsidP="00927F1C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 w:rsidRPr="007C221B">
              <w:rPr>
                <w:b/>
              </w:rPr>
              <w:t>Lp.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7C221B" w:rsidRDefault="00927F1C" w:rsidP="00927F1C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 w:rsidRPr="007C221B">
              <w:rPr>
                <w:b/>
              </w:rPr>
              <w:t>Minimalne wymaganie funkcjonalne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7F1C" w:rsidRPr="000A654F" w:rsidRDefault="00927F1C" w:rsidP="00927F1C">
            <w:pPr>
              <w:spacing w:after="0" w:line="259" w:lineRule="auto"/>
              <w:ind w:left="0" w:right="0" w:firstLine="0"/>
              <w:jc w:val="center"/>
              <w:rPr>
                <w:b/>
                <w:color w:val="FF0000"/>
              </w:rPr>
            </w:pPr>
            <w:r w:rsidRPr="000A654F">
              <w:rPr>
                <w:b/>
                <w:color w:val="FF0000"/>
              </w:rPr>
              <w:t>Nie potrzebne</w:t>
            </w:r>
          </w:p>
          <w:p w:rsidR="00927F1C" w:rsidRPr="007C221B" w:rsidRDefault="00927F1C" w:rsidP="00927F1C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 w:rsidRPr="000A654F">
              <w:rPr>
                <w:b/>
                <w:color w:val="FF0000"/>
              </w:rPr>
              <w:t>skreślić*</w:t>
            </w:r>
          </w:p>
        </w:tc>
      </w:tr>
      <w:tr w:rsidR="00927F1C" w:rsidTr="00927F1C">
        <w:trPr>
          <w:trHeight w:val="5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>
              <w:t>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Default="00927F1C" w:rsidP="00927F1C">
            <w:pPr>
              <w:spacing w:after="0" w:line="259" w:lineRule="auto"/>
              <w:ind w:left="0" w:right="0" w:firstLine="0"/>
            </w:pPr>
            <w:r>
              <w:t>Agregacja i analiza logów w czasie rzeczywistym z urządzeń końcowych, sieciowych oraz chmurowych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F1C" w:rsidRDefault="00927F1C" w:rsidP="00927F1C">
            <w:pPr>
              <w:spacing w:after="0" w:line="259" w:lineRule="auto"/>
              <w:ind w:left="0" w:right="0" w:firstLine="0"/>
              <w:jc w:val="center"/>
            </w:pPr>
            <w:r>
              <w:t>Spełnia / Nie spełnia*</w:t>
            </w:r>
          </w:p>
        </w:tc>
      </w:tr>
      <w:tr w:rsidR="00927F1C" w:rsidTr="00927F1C">
        <w:trPr>
          <w:trHeight w:val="5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>
              <w:t xml:space="preserve">Detekcja zagrożeń poprzez reguły oparte na </w:t>
            </w:r>
            <w:proofErr w:type="spellStart"/>
            <w:r>
              <w:t>frameworku</w:t>
            </w:r>
            <w:proofErr w:type="spellEnd"/>
            <w:r>
              <w:t xml:space="preserve"> MITRE ATT&amp;CK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927F1C" w:rsidRDefault="00927F1C" w:rsidP="00927F1C">
      <w:pPr>
        <w:ind w:left="0" w:firstLine="0"/>
        <w:rPr>
          <w:rFonts w:ascii="Arial" w:hAnsi="Arial" w:cs="Arial"/>
        </w:rPr>
      </w:pPr>
    </w:p>
    <w:tbl>
      <w:tblPr>
        <w:tblStyle w:val="TableGrid1"/>
        <w:tblpPr w:vertAnchor="text" w:tblpX="5"/>
        <w:tblOverlap w:val="never"/>
        <w:tblW w:w="9067" w:type="dxa"/>
        <w:tblInd w:w="0" w:type="dxa"/>
        <w:tblCellMar>
          <w:top w:w="49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562"/>
        <w:gridCol w:w="6096"/>
        <w:gridCol w:w="2409"/>
      </w:tblGrid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 xml:space="preserve">Automatyzacja reakcji na incydenty (integracja z SOAR, np. </w:t>
            </w:r>
            <w:proofErr w:type="spellStart"/>
            <w:r w:rsidRPr="00927F1C">
              <w:t>Shuffle</w:t>
            </w:r>
            <w:proofErr w:type="spellEnd"/>
            <w:r w:rsidRPr="00927F1C">
              <w:t>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  <w:p w:rsid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left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left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left"/>
            </w:pPr>
          </w:p>
          <w:p w:rsid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  <w:p w:rsid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  <w:p w:rsidR="00927F1C" w:rsidRDefault="00927F1C" w:rsidP="00927F1C">
            <w:pPr>
              <w:spacing w:after="160" w:line="259" w:lineRule="auto"/>
              <w:ind w:left="0" w:right="0" w:firstLine="0"/>
              <w:jc w:val="center"/>
            </w:pPr>
            <w:r>
              <w:t>Spełnia / Nie spełnia*</w:t>
            </w: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  <w:r w:rsidRPr="008E0C92">
              <w:t>Spełnia / Nie spełnia*</w:t>
            </w:r>
          </w:p>
          <w:p w:rsid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Monitorowanie zgodności z regulacjami (RODO, PCI-DSS)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5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</w:pPr>
            <w:r w:rsidRPr="00927F1C">
              <w:t xml:space="preserve">Oprogramowanie typu open </w:t>
            </w:r>
            <w:proofErr w:type="spellStart"/>
            <w:r w:rsidRPr="00927F1C">
              <w:t>source</w:t>
            </w:r>
            <w:proofErr w:type="spellEnd"/>
            <w:r w:rsidRPr="00927F1C">
              <w:t xml:space="preserve"> lub licencja komercyjna z wieczystym bezpłatnym dostępem do aktualizacji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Gromadzenie, korelacja zdarzeń z innych systemów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Monitorowanie zdarzeń bezpieczeństwa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8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Analiza logów i detekcja anomalii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9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 xml:space="preserve">Reakcja na zagrożenia i </w:t>
            </w:r>
            <w:proofErr w:type="spellStart"/>
            <w:r w:rsidRPr="00927F1C">
              <w:t>alertowanie</w:t>
            </w:r>
            <w:proofErr w:type="spellEnd"/>
            <w:r w:rsidRPr="00927F1C">
              <w:t xml:space="preserve"> personelu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10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Kompatybilność z istniejącą infrastrukturą IT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Możliwość rozszerzenia funkcjonalności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Zgodność z regulacjami: PCI DSS, HIPAA, NIST 800-53, TSC GDPR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Zbieranie logów z różnych źródeł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Zestaw reguł detekcji zgodnych z branżowymi standardami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Generowanie alertów na podstawie zagrożeń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Reakcje automatyczne na zdarzenia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 xml:space="preserve">Integracja z systemami </w:t>
            </w:r>
            <w:proofErr w:type="spellStart"/>
            <w:r w:rsidRPr="00927F1C">
              <w:t>ticketingowymi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18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Analiza trendów i podejrzanych wzorców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19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Szyfrowanie komunikacji między komponentami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20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Zabezpieczenia dostępu do systemu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21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Intuicyjny interfejs zarządzania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lastRenderedPageBreak/>
              <w:t>22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Łatwa aktualizacja i rozbudowa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23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Integracja z różnymi systemami (serwery, firewalle, IDS, NAC, AD)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24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 xml:space="preserve">Obsługa protokołów: </w:t>
            </w:r>
            <w:proofErr w:type="spellStart"/>
            <w:r w:rsidRPr="00927F1C">
              <w:t>Syslog</w:t>
            </w:r>
            <w:proofErr w:type="spellEnd"/>
            <w:r w:rsidRPr="00927F1C">
              <w:t>, SNMP, WMI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25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Normalizacja i korelacja logów z różnych źródeł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26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Przypisanie poziomów krytyczności zasobom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27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 xml:space="preserve">Mapowanie zdarzeń do </w:t>
            </w:r>
            <w:proofErr w:type="spellStart"/>
            <w:r w:rsidRPr="00927F1C">
              <w:t>framework</w:t>
            </w:r>
            <w:proofErr w:type="spellEnd"/>
            <w:r w:rsidRPr="00927F1C">
              <w:t xml:space="preserve"> MITRE ATT&amp;CK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28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Automatyczne powiadamianie o incydentach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29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Korelacja z anomaliami w przepływach sieciowych i skanerami CVE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30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Detekcja zagrożeń na poziomie hosta (HIDS)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 xml:space="preserve">Wykrywanie ataków </w:t>
            </w:r>
            <w:proofErr w:type="spellStart"/>
            <w:r w:rsidRPr="00927F1C">
              <w:t>brute-force</w:t>
            </w:r>
            <w:proofErr w:type="spellEnd"/>
            <w:r w:rsidRPr="00927F1C">
              <w:t xml:space="preserve"> i zmian w plikach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Detekcja zagrożeń na poziomie sieci (NIDS)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Analiza ruchu w czasie rzeczywistym i danych archiwalnych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Centralne zarządzanie politykami bezpieczeństwa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Konfiguracja wielu agentów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 xml:space="preserve">Integracja z </w:t>
            </w:r>
            <w:proofErr w:type="spellStart"/>
            <w:r w:rsidRPr="00927F1C">
              <w:t>Elastic</w:t>
            </w:r>
            <w:proofErr w:type="spellEnd"/>
            <w:r w:rsidRPr="00927F1C">
              <w:t xml:space="preserve"> </w:t>
            </w:r>
            <w:proofErr w:type="spellStart"/>
            <w:r w:rsidRPr="00927F1C">
              <w:t>Stack</w:t>
            </w:r>
            <w:proofErr w:type="spellEnd"/>
            <w:r w:rsidRPr="00927F1C">
              <w:t xml:space="preserve"> (</w:t>
            </w:r>
            <w:proofErr w:type="spellStart"/>
            <w:r w:rsidRPr="00927F1C">
              <w:t>Elasticsearch</w:t>
            </w:r>
            <w:proofErr w:type="spellEnd"/>
            <w:r w:rsidRPr="00927F1C">
              <w:t xml:space="preserve">, </w:t>
            </w:r>
            <w:proofErr w:type="spellStart"/>
            <w:r w:rsidRPr="00927F1C">
              <w:t>Logstash</w:t>
            </w:r>
            <w:proofErr w:type="spellEnd"/>
            <w:r w:rsidRPr="00927F1C">
              <w:t xml:space="preserve">, </w:t>
            </w:r>
            <w:proofErr w:type="spellStart"/>
            <w:r w:rsidRPr="00927F1C">
              <w:t>Kibana</w:t>
            </w:r>
            <w:proofErr w:type="spellEnd"/>
            <w:r w:rsidRPr="00927F1C"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Raportowanie i wizualizacja danych bezpieczeństwa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38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Tworzenie niestandardowych raportów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39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Monitorowanie integralności plików (FIM)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40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Konfiguracja zautomatyzowanych reakcji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 xml:space="preserve">Obsługa protokołów: </w:t>
            </w:r>
            <w:proofErr w:type="spellStart"/>
            <w:r w:rsidRPr="00927F1C">
              <w:t>Syslog</w:t>
            </w:r>
            <w:proofErr w:type="spellEnd"/>
            <w:r w:rsidRPr="00927F1C">
              <w:t>, SNMP, JSON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Moduły i rozszerzenia systemu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Generowanie raportów na żądanie i okresowych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Raporty dostosowane do różnych odbiorców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Bezpieczne przechowywanie logów przez min. 1 rok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Ochrona danych przed nieautoryzowanym dostępem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Spersonalizowane pulpity nawigacyjne z widżetami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48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Eksport raportów do PDF/CSV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49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Obsługa ról użytkowników (administrator, analityk, auditor)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927F1C" w:rsidRDefault="00927F1C" w:rsidP="00927F1C">
      <w:pPr>
        <w:ind w:left="0" w:firstLine="0"/>
        <w:rPr>
          <w:rFonts w:ascii="Arial" w:hAnsi="Arial" w:cs="Arial"/>
        </w:rPr>
      </w:pPr>
    </w:p>
    <w:sectPr w:rsidR="00927F1C" w:rsidSect="009E061A">
      <w:headerReference w:type="default" r:id="rId8"/>
      <w:footerReference w:type="default" r:id="rId9"/>
      <w:pgSz w:w="11906" w:h="16838"/>
      <w:pgMar w:top="1422" w:right="1417" w:bottom="297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488" w:rsidRDefault="003C5488" w:rsidP="003C5488">
      <w:pPr>
        <w:spacing w:after="0" w:line="240" w:lineRule="auto"/>
      </w:pPr>
      <w:r>
        <w:separator/>
      </w:r>
    </w:p>
  </w:endnote>
  <w:endnote w:type="continuationSeparator" w:id="0">
    <w:p w:rsidR="003C5488" w:rsidRDefault="003C5488" w:rsidP="003C5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061A" w:rsidRDefault="009E061A" w:rsidP="009E061A">
    <w:pPr>
      <w:autoSpaceDE w:val="0"/>
      <w:autoSpaceDN w:val="0"/>
      <w:adjustRightInd w:val="0"/>
      <w:spacing w:after="0" w:line="240" w:lineRule="auto"/>
      <w:ind w:left="0" w:right="0" w:firstLine="0"/>
      <w:jc w:val="center"/>
      <w:rPr>
        <w:rFonts w:ascii="Arial-ItalicMT" w:eastAsiaTheme="minorEastAsia" w:hAnsi="Arial-ItalicMT" w:cs="Arial-ItalicMT"/>
        <w:i/>
        <w:iCs/>
        <w:color w:val="FF0000"/>
      </w:rPr>
    </w:pPr>
    <w:r>
      <w:rPr>
        <w:rFonts w:ascii="Arial-ItalicMT" w:eastAsiaTheme="minorEastAsia" w:hAnsi="Arial-ItalicMT" w:cs="Arial-ItalicMT"/>
        <w:i/>
        <w:iCs/>
        <w:color w:val="FF0000"/>
      </w:rPr>
      <w:t>UWAGA: Dokument należy podpisać kwalifikowanym podpisem elektronicznym lub</w:t>
    </w:r>
  </w:p>
  <w:p w:rsidR="009E061A" w:rsidRDefault="009E061A" w:rsidP="009E061A">
    <w:pPr>
      <w:tabs>
        <w:tab w:val="center" w:pos="4536"/>
        <w:tab w:val="right" w:pos="9072"/>
      </w:tabs>
      <w:spacing w:after="0" w:line="240" w:lineRule="auto"/>
      <w:ind w:left="0" w:right="0" w:firstLine="0"/>
      <w:jc w:val="center"/>
      <w:rPr>
        <w:rFonts w:asciiTheme="minorHAnsi" w:eastAsiaTheme="minorHAnsi" w:hAnsiTheme="minorHAnsi" w:cstheme="minorBidi"/>
        <w:color w:val="auto"/>
        <w:lang w:eastAsia="en-US"/>
      </w:rPr>
    </w:pPr>
    <w:r>
      <w:rPr>
        <w:rFonts w:ascii="Arial-ItalicMT" w:eastAsiaTheme="minorEastAsia" w:hAnsi="Arial-ItalicMT" w:cs="Arial-ItalicMT"/>
        <w:i/>
        <w:iCs/>
        <w:color w:val="FF0000"/>
      </w:rPr>
      <w:t>podpisem zaufanym lub podpisem osobistym.</w:t>
    </w:r>
    <w:r>
      <w:rPr>
        <w:rFonts w:asciiTheme="minorHAnsi" w:eastAsiaTheme="minorHAnsi" w:hAnsiTheme="minorHAnsi" w:cstheme="minorBidi"/>
        <w:color w:val="auto"/>
        <w:lang w:eastAsia="en-US"/>
      </w:rPr>
      <w:br/>
    </w:r>
  </w:p>
  <w:p w:rsidR="003C5488" w:rsidRPr="003C5488" w:rsidRDefault="003C5488" w:rsidP="003C5488">
    <w:pPr>
      <w:tabs>
        <w:tab w:val="center" w:pos="4536"/>
        <w:tab w:val="right" w:pos="9072"/>
      </w:tabs>
      <w:spacing w:after="0" w:line="240" w:lineRule="auto"/>
      <w:ind w:left="0" w:right="0" w:firstLine="0"/>
      <w:jc w:val="center"/>
      <w:rPr>
        <w:rFonts w:asciiTheme="minorHAnsi" w:eastAsiaTheme="minorHAnsi" w:hAnsiTheme="minorHAnsi" w:cstheme="minorBidi"/>
        <w:color w:val="auto"/>
        <w:lang w:eastAsia="en-US"/>
      </w:rPr>
    </w:pPr>
    <w:r w:rsidRPr="003C5488">
      <w:rPr>
        <w:rFonts w:asciiTheme="minorHAnsi" w:eastAsiaTheme="minorHAnsi" w:hAnsiTheme="minorHAnsi" w:cstheme="minorBidi"/>
        <w:color w:val="auto"/>
        <w:lang w:eastAsia="en-US"/>
      </w:rPr>
      <w:t>Projekt Krajowego Planu Odbudowy i Zwiększenia Odporności (KPO) pn. „Cyberbezpieczny Urząd –</w:t>
    </w:r>
  </w:p>
  <w:p w:rsidR="003C5488" w:rsidRPr="003C5488" w:rsidRDefault="003C5488" w:rsidP="003C5488"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  <w:rPr>
        <w:rFonts w:asciiTheme="minorHAnsi" w:eastAsiaTheme="minorHAnsi" w:hAnsiTheme="minorHAnsi" w:cstheme="minorBidi"/>
        <w:color w:val="auto"/>
        <w:lang w:eastAsia="en-US"/>
      </w:rPr>
    </w:pPr>
    <w:r w:rsidRPr="003C5488">
      <w:rPr>
        <w:rFonts w:asciiTheme="minorHAnsi" w:eastAsiaTheme="minorHAnsi" w:hAnsiTheme="minorHAnsi" w:cstheme="minorBidi"/>
        <w:color w:val="auto"/>
        <w:lang w:eastAsia="en-US"/>
      </w:rPr>
      <w:t>Podniesienie standardów cyberbezpieczeństwa Wojewody Małopolskiego i jednostek podległych”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488" w:rsidRDefault="003C5488" w:rsidP="003C5488">
      <w:pPr>
        <w:spacing w:after="0" w:line="240" w:lineRule="auto"/>
      </w:pPr>
      <w:r>
        <w:separator/>
      </w:r>
    </w:p>
  </w:footnote>
  <w:footnote w:type="continuationSeparator" w:id="0">
    <w:p w:rsidR="003C5488" w:rsidRDefault="003C5488" w:rsidP="003C5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488" w:rsidRDefault="003C5488">
    <w:pPr>
      <w:pStyle w:val="Nagwek"/>
    </w:pPr>
    <w:r>
      <w:rPr>
        <w:noProof/>
      </w:rPr>
      <w:drawing>
        <wp:inline distT="0" distB="0" distL="0" distR="0" wp14:anchorId="0B69C1B6" wp14:editId="73392460">
          <wp:extent cx="5760720" cy="544489"/>
          <wp:effectExtent l="0" t="0" r="0" b="8255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4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1B614C"/>
    <w:multiLevelType w:val="hybridMultilevel"/>
    <w:tmpl w:val="911E9FE6"/>
    <w:lvl w:ilvl="0" w:tplc="D4AC6478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C6564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5EC3B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98AD5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20C78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0E58E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928CEB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A8346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2AA81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E74"/>
    <w:rsid w:val="00044FFE"/>
    <w:rsid w:val="00083ADB"/>
    <w:rsid w:val="000A654F"/>
    <w:rsid w:val="002245E5"/>
    <w:rsid w:val="003C5488"/>
    <w:rsid w:val="00425073"/>
    <w:rsid w:val="00572E40"/>
    <w:rsid w:val="006867BC"/>
    <w:rsid w:val="00721609"/>
    <w:rsid w:val="007C221B"/>
    <w:rsid w:val="0083423E"/>
    <w:rsid w:val="008E0C92"/>
    <w:rsid w:val="00927F1C"/>
    <w:rsid w:val="009E061A"/>
    <w:rsid w:val="00E21A29"/>
    <w:rsid w:val="00FE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2B3F8"/>
  <w15:docId w15:val="{595FB587-17C4-41EF-8DCA-55C16F63E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7" w:line="268" w:lineRule="auto"/>
      <w:ind w:left="370" w:right="229" w:hanging="37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C5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5488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C5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5488"/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1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A29"/>
    <w:rPr>
      <w:rFonts w:ascii="Segoe UI" w:eastAsia="Calibri" w:hAnsi="Segoe UI" w:cs="Segoe UI"/>
      <w:color w:val="000000"/>
      <w:sz w:val="18"/>
      <w:szCs w:val="18"/>
    </w:rPr>
  </w:style>
  <w:style w:type="table" w:customStyle="1" w:styleId="TableGrid1">
    <w:name w:val="TableGrid1"/>
    <w:rsid w:val="00927F1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525CC-65B5-4E68-94F3-7659F3830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868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Piszczek</dc:creator>
  <cp:keywords/>
  <cp:lastModifiedBy>Piotr Gacal</cp:lastModifiedBy>
  <cp:revision>13</cp:revision>
  <dcterms:created xsi:type="dcterms:W3CDTF">2026-02-18T10:59:00Z</dcterms:created>
  <dcterms:modified xsi:type="dcterms:W3CDTF">2026-02-19T12:16:00Z</dcterms:modified>
</cp:coreProperties>
</file>